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bookmark0"/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681A" w:rsidRPr="0026681A" w:rsidRDefault="0026681A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6681A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18AF9D76" wp14:editId="24386CD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1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6681A" w:rsidRPr="0026681A" w:rsidRDefault="0026681A" w:rsidP="0026681A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6681A" w:rsidRPr="0026681A" w:rsidRDefault="0026681A" w:rsidP="0026681A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6681A" w:rsidRPr="0026681A" w:rsidRDefault="0026681A" w:rsidP="0026681A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6681A" w:rsidRPr="0026681A" w:rsidTr="0026681A">
        <w:trPr>
          <w:trHeight w:val="146"/>
        </w:trPr>
        <w:tc>
          <w:tcPr>
            <w:tcW w:w="5846" w:type="dxa"/>
            <w:shd w:val="clear" w:color="auto" w:fill="auto"/>
          </w:tcPr>
          <w:p w:rsidR="0026681A" w:rsidRPr="0026681A" w:rsidRDefault="0026681A" w:rsidP="0026681A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30</w:t>
            </w: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26681A" w:rsidRPr="0026681A" w:rsidRDefault="0026681A" w:rsidP="0026681A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23</w:t>
            </w:r>
          </w:p>
        </w:tc>
      </w:tr>
    </w:tbl>
    <w:p w:rsidR="0026681A" w:rsidRDefault="0026681A" w:rsidP="0026681A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091D9F" w:rsidRPr="0026681A" w:rsidRDefault="00091D9F" w:rsidP="0026681A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563B05" w:rsidRDefault="007368EC" w:rsidP="002C6A2C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563B05">
        <w:rPr>
          <w:rFonts w:ascii="PT Astra Serif" w:hAnsi="PT Astra Serif"/>
          <w:b/>
          <w:spacing w:val="6"/>
          <w:sz w:val="28"/>
          <w:szCs w:val="28"/>
        </w:rPr>
        <w:t>О внесении изменени</w:t>
      </w:r>
      <w:r w:rsidR="00FB56E8">
        <w:rPr>
          <w:rFonts w:ascii="PT Astra Serif" w:hAnsi="PT Astra Serif"/>
          <w:b/>
          <w:spacing w:val="6"/>
          <w:sz w:val="28"/>
          <w:szCs w:val="28"/>
        </w:rPr>
        <w:t>я</w:t>
      </w:r>
      <w:r w:rsidRPr="00563B05">
        <w:rPr>
          <w:rFonts w:ascii="PT Astra Serif" w:hAnsi="PT Astra Serif"/>
          <w:b/>
          <w:spacing w:val="6"/>
          <w:sz w:val="28"/>
          <w:szCs w:val="28"/>
        </w:rPr>
        <w:t xml:space="preserve"> в постановление администрации муниципального образования Каменск</w:t>
      </w:r>
      <w:r w:rsidR="002C6A2C" w:rsidRPr="00563B05">
        <w:rPr>
          <w:rFonts w:ascii="PT Astra Serif" w:hAnsi="PT Astra Serif"/>
          <w:b/>
          <w:spacing w:val="6"/>
          <w:sz w:val="28"/>
          <w:szCs w:val="28"/>
        </w:rPr>
        <w:t>ий район от 18 апреля 2014 г. № </w:t>
      </w:r>
      <w:r w:rsidRPr="00563B05">
        <w:rPr>
          <w:rFonts w:ascii="PT Astra Serif" w:hAnsi="PT Astra Serif"/>
          <w:b/>
          <w:spacing w:val="6"/>
          <w:sz w:val="28"/>
          <w:szCs w:val="28"/>
        </w:rPr>
        <w:t>113 «Об утверждении программы «Разв</w:t>
      </w:r>
      <w:bookmarkStart w:id="1" w:name="_GoBack"/>
      <w:bookmarkEnd w:id="1"/>
      <w:r w:rsidRPr="00563B05">
        <w:rPr>
          <w:rFonts w:ascii="PT Astra Serif" w:hAnsi="PT Astra Serif"/>
          <w:b/>
          <w:spacing w:val="6"/>
          <w:sz w:val="28"/>
          <w:szCs w:val="28"/>
        </w:rPr>
        <w:t>итие субъектов малого и среднего предпринимательства в муниципальном образовании Каменский район»</w:t>
      </w:r>
    </w:p>
    <w:p w:rsidR="007368EC" w:rsidRPr="00563B05" w:rsidRDefault="007368EC" w:rsidP="002C6A2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91D9F" w:rsidRPr="00563B05" w:rsidRDefault="00091D9F" w:rsidP="002C6A2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563B05" w:rsidRDefault="0026681A" w:rsidP="00563B05">
      <w:pPr>
        <w:shd w:val="clear" w:color="auto" w:fill="FFFFFF"/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На основании ст. 25, 32 Устава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 xml:space="preserve"> муниципального образования Каменский район администрация муниципального образования Каменский район ПОСТАНОВЛЯЕТ:</w:t>
      </w:r>
    </w:p>
    <w:p w:rsidR="007368EC" w:rsidRPr="00563B05" w:rsidRDefault="008122BF" w:rsidP="00563B05">
      <w:pPr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563B05" w:rsidRDefault="00FB56E8" w:rsidP="00563B05">
      <w:pPr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1.1.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те</w:t>
      </w:r>
      <w:proofErr w:type="gramStart"/>
      <w:r w:rsidR="007368EC" w:rsidRPr="00563B05">
        <w:rPr>
          <w:rFonts w:ascii="PT Astra Serif" w:hAnsi="PT Astra Serif"/>
          <w:spacing w:val="6"/>
          <w:sz w:val="28"/>
          <w:szCs w:val="28"/>
        </w:rPr>
        <w:t>кст пр</w:t>
      </w:r>
      <w:proofErr w:type="gramEnd"/>
      <w:r w:rsidR="007368EC" w:rsidRPr="00563B05">
        <w:rPr>
          <w:rFonts w:ascii="PT Astra Serif" w:hAnsi="PT Astra Serif"/>
          <w:spacing w:val="6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563B05" w:rsidRDefault="00563B05" w:rsidP="00563B05">
      <w:pPr>
        <w:spacing w:line="360" w:lineRule="atLeas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2.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Признать утратившим силу постановление администрации муниципального образования Каменский район от 1</w:t>
      </w:r>
      <w:r w:rsidR="00FB56E8">
        <w:rPr>
          <w:rFonts w:ascii="PT Astra Serif" w:hAnsi="PT Astra Serif"/>
          <w:spacing w:val="6"/>
          <w:sz w:val="28"/>
          <w:szCs w:val="28"/>
        </w:rPr>
        <w:t>4 апреля 2022 г. № 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132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район».</w:t>
      </w:r>
    </w:p>
    <w:p w:rsidR="007368EC" w:rsidRPr="00563B05" w:rsidRDefault="00563B05" w:rsidP="00563B05">
      <w:pPr>
        <w:spacing w:line="360" w:lineRule="atLeas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63B0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 xml:space="preserve"> (Ртищева</w:t>
      </w:r>
      <w:r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 xml:space="preserve"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lastRenderedPageBreak/>
        <w:t>обнародования муниципальных нормативных правовых актов муниципального образования Каменский район.</w:t>
      </w:r>
    </w:p>
    <w:p w:rsidR="007368EC" w:rsidRPr="00563B05" w:rsidRDefault="007368EC" w:rsidP="00563B05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4. Постановление вступает в силу со дня подписания и подлежит</w:t>
      </w:r>
      <w:r w:rsidRPr="00563B05">
        <w:rPr>
          <w:rFonts w:ascii="PT Astra Serif" w:hAnsi="PT Astra Serif"/>
          <w:sz w:val="28"/>
          <w:szCs w:val="28"/>
        </w:rPr>
        <w:t xml:space="preserve"> обнародованию.</w:t>
      </w:r>
    </w:p>
    <w:p w:rsidR="0021683E" w:rsidRPr="00563B05" w:rsidRDefault="0021683E" w:rsidP="002C6A2C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091D9F" w:rsidRPr="00563B05" w:rsidRDefault="00091D9F" w:rsidP="002C6A2C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31"/>
        <w:tblpPr w:leftFromText="180" w:rightFromText="180" w:vertAnchor="text" w:horzAnchor="margin" w:tblpY="4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2374"/>
        <w:gridCol w:w="2868"/>
      </w:tblGrid>
      <w:tr w:rsidR="0026681A" w:rsidRPr="00563B05" w:rsidTr="0026681A">
        <w:trPr>
          <w:trHeight w:val="229"/>
        </w:trPr>
        <w:tc>
          <w:tcPr>
            <w:tcW w:w="2178" w:type="pct"/>
          </w:tcPr>
          <w:p w:rsidR="0026681A" w:rsidRPr="00563B05" w:rsidRDefault="0026681A" w:rsidP="002C6A2C">
            <w:pPr>
              <w:widowControl/>
              <w:ind w:right="-119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</w:pPr>
            <w:r w:rsidRPr="00563B05"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6681A" w:rsidRPr="00563B05" w:rsidRDefault="0026681A" w:rsidP="002C6A2C">
            <w:pPr>
              <w:widowControl/>
              <w:suppressAutoHyphens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6681A" w:rsidRPr="00563B05" w:rsidRDefault="0026681A" w:rsidP="002C6A2C">
            <w:pPr>
              <w:widowControl/>
              <w:suppressAutoHyphens/>
              <w:jc w:val="right"/>
              <w:rPr>
                <w:rFonts w:ascii="PT Astra Serif" w:hAnsi="PT Astra Serif"/>
                <w:color w:val="auto"/>
                <w:sz w:val="28"/>
                <w:szCs w:val="28"/>
                <w:lang w:eastAsia="zh-CN" w:bidi="ar-SA"/>
              </w:rPr>
            </w:pPr>
            <w:r w:rsidRPr="00563B05"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A45B13" w:rsidRDefault="00A45B13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bookmarkEnd w:id="0"/>
    <w:p w:rsidR="007368EC" w:rsidRPr="00DE6CFC" w:rsidRDefault="007368EC" w:rsidP="007368EC">
      <w:pPr>
        <w:rPr>
          <w:rFonts w:ascii="PT Astra Serif" w:hAnsi="PT Astra Serif"/>
          <w:vanish/>
          <w:color w:val="0070C0"/>
        </w:rPr>
        <w:sectPr w:rsidR="007368EC" w:rsidRPr="00DE6CFC" w:rsidSect="0026681A">
          <w:headerReference w:type="default" r:id="rId10"/>
          <w:pgSz w:w="11905" w:h="16840"/>
          <w:pgMar w:top="851" w:right="1134" w:bottom="1134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DE6CFC" w:rsidTr="007368EC">
        <w:tc>
          <w:tcPr>
            <w:tcW w:w="4604" w:type="dxa"/>
            <w:shd w:val="clear" w:color="auto" w:fill="auto"/>
          </w:tcPr>
          <w:p w:rsidR="007368EC" w:rsidRPr="00DE6CFC" w:rsidRDefault="007368EC" w:rsidP="0026681A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shd w:val="clear" w:color="auto" w:fill="auto"/>
          </w:tcPr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DE6CFC" w:rsidRDefault="00985D5D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30 января </w:t>
            </w:r>
            <w:r w:rsidR="002C6A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68EC"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C6A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</w:p>
        </w:tc>
      </w:tr>
    </w:tbl>
    <w:p w:rsidR="007368EC" w:rsidRPr="00DE6CFC" w:rsidRDefault="007368EC" w:rsidP="007368EC">
      <w:pPr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FB56E8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FB56E8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7368EC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2014-2025 годы. Разделение на этапы не предусмотрено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– 566,55 </w:t>
            </w:r>
            <w:proofErr w:type="spellStart"/>
            <w:r w:rsidRPr="00DE6CF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28"/>
                <w:szCs w:val="28"/>
              </w:rPr>
              <w:t>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2025 - 20,0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в том числе на мероприятия 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финансовой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финансирования 566,55 тыс. руб. из них по годам: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</w:tc>
      </w:tr>
    </w:tbl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Pr="00DE6CFC" w:rsidRDefault="007368EC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DE6CFC">
        <w:rPr>
          <w:rFonts w:ascii="PT Astra Serif" w:hAnsi="PT Astra Serif"/>
          <w:b/>
          <w:bCs/>
        </w:rPr>
        <w:lastRenderedPageBreak/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tbl>
      <w:tblPr>
        <w:tblW w:w="1452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560"/>
        <w:gridCol w:w="918"/>
      </w:tblGrid>
      <w:tr w:rsidR="007368EC" w:rsidRPr="00DE6CFC" w:rsidTr="0026681A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структурного элемента программы/ 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Целевые значения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Плановое значение показателя на дату окончания срока действия программы</w:t>
            </w:r>
          </w:p>
        </w:tc>
      </w:tr>
      <w:tr w:rsidR="007368EC" w:rsidRPr="00DE6CFC" w:rsidTr="0026681A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Едини-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ца</w:t>
            </w:r>
            <w:proofErr w:type="spellEnd"/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изме</w:t>
            </w:r>
            <w:proofErr w:type="spell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</w:t>
            </w:r>
          </w:p>
        </w:tc>
        <w:tc>
          <w:tcPr>
            <w:tcW w:w="1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b/>
                <w:i/>
                <w:spacing w:val="-2"/>
                <w:sz w:val="16"/>
                <w:szCs w:val="16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гражданами, популяризации предпринимательства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2.Оборот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3.Доля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2133B2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6.Годовой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 xml:space="preserve">7.Коэффициент «рождаемости» субъектов малого и среднего предпринимательства (количество созданных в отчетном периоде </w:t>
            </w: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Отдел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9.Количество самозанятых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</w:tr>
      <w:tr w:rsidR="007368EC" w:rsidRPr="00DE6CFC" w:rsidTr="0026681A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.2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1.2.1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Развитие системы финансовой поддержки, оказание имущественной и консультационной поддержки субъектам малого и среднего предпринимательства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и физическим лицам, применяющим специальный налоговый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DE6CFC">
              <w:rPr>
                <w:rFonts w:ascii="PT Astra Serif" w:hAnsi="PT Astra Serif" w:cs="Arial"/>
                <w:sz w:val="16"/>
                <w:szCs w:val="16"/>
              </w:rPr>
              <w:lastRenderedPageBreak/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val="en-US"/>
              </w:rPr>
              <w:t>2</w:t>
            </w:r>
          </w:p>
        </w:tc>
      </w:tr>
      <w:tr w:rsidR="007368EC" w:rsidRPr="00DE6CFC" w:rsidTr="0026681A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368EC" w:rsidRPr="00DE6CFC" w:rsidTr="0026681A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1.3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Задача 1 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12. Количество информационных материалов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Изготовление и распространение раздаточных полиграфических материалов.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7368EC" w:rsidRDefault="007368E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p w:rsidR="002C6A2C" w:rsidRPr="00DE6CFC" w:rsidRDefault="002C6A2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DE6CFC" w:rsidTr="0026681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Связь с показателями </w:t>
            </w:r>
          </w:p>
        </w:tc>
      </w:tr>
      <w:tr w:rsidR="007368EC" w:rsidRPr="00DE6CFC" w:rsidTr="0026681A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7368EC" w:rsidRPr="00DE6CFC" w:rsidTr="0026681A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1. Комплекс процессных мероприятий: «</w:t>
            </w:r>
            <w:r w:rsidRPr="00DE6CFC">
              <w:rPr>
                <w:rFonts w:ascii="PT Astra Serif" w:eastAsia="Calibri" w:hAnsi="PT Astra Serif"/>
                <w:b/>
                <w:i/>
                <w:spacing w:val="-2"/>
                <w:sz w:val="22"/>
                <w:szCs w:val="2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DE6CFC" w:rsidTr="0026681A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1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4-20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25</w:t>
            </w:r>
          </w:p>
        </w:tc>
      </w:tr>
      <w:tr w:rsidR="007368EC" w:rsidRPr="00DE6CFC" w:rsidTr="0026681A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№1, 2, 3, 4, 7, 8, 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№6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№5</w:t>
            </w:r>
          </w:p>
        </w:tc>
      </w:tr>
      <w:tr w:rsidR="007368EC" w:rsidRPr="00DE6CFC" w:rsidTr="0026681A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DE6CFC" w:rsidTr="0026681A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2014-2025</w:t>
            </w:r>
          </w:p>
        </w:tc>
      </w:tr>
      <w:tr w:rsidR="007368EC" w:rsidRPr="00DE6CFC" w:rsidTr="0026681A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№10, 11</w:t>
            </w:r>
          </w:p>
        </w:tc>
      </w:tr>
      <w:tr w:rsidR="007368EC" w:rsidRPr="00DE6CFC" w:rsidTr="0026681A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DE6CFC" w:rsidTr="0026681A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 xml:space="preserve">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>Срок реализации: 2014-2025</w:t>
            </w:r>
          </w:p>
        </w:tc>
      </w:tr>
      <w:tr w:rsidR="007368EC" w:rsidRPr="00DE6CFC" w:rsidTr="0026681A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lastRenderedPageBreak/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№12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p w:rsidR="002C6A2C" w:rsidRPr="00DE6CFC" w:rsidRDefault="002C6A2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992"/>
        <w:gridCol w:w="844"/>
        <w:gridCol w:w="850"/>
        <w:gridCol w:w="850"/>
        <w:gridCol w:w="850"/>
        <w:gridCol w:w="850"/>
        <w:gridCol w:w="844"/>
        <w:gridCol w:w="850"/>
        <w:gridCol w:w="998"/>
        <w:gridCol w:w="998"/>
      </w:tblGrid>
      <w:tr w:rsidR="007368EC" w:rsidRPr="00DE6CFC" w:rsidTr="0026681A">
        <w:trPr>
          <w:trHeight w:val="448"/>
          <w:tblHeader/>
        </w:trPr>
        <w:tc>
          <w:tcPr>
            <w:tcW w:w="1913" w:type="pct"/>
            <w:vMerge w:val="restart"/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87" w:type="pct"/>
            <w:gridSpan w:val="10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368EC" w:rsidRPr="00DE6CFC" w:rsidTr="0026681A">
        <w:trPr>
          <w:trHeight w:val="448"/>
          <w:tblHeader/>
        </w:trPr>
        <w:tc>
          <w:tcPr>
            <w:tcW w:w="1913" w:type="pct"/>
            <w:vMerge/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2020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292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45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7368EC" w:rsidRPr="00DE6CFC" w:rsidTr="0026681A">
        <w:trPr>
          <w:trHeight w:val="282"/>
          <w:tblHeader/>
        </w:trPr>
        <w:tc>
          <w:tcPr>
            <w:tcW w:w="1913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2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5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rPr>
          <w:trHeight w:val="474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566,55</w:t>
            </w:r>
          </w:p>
        </w:tc>
      </w:tr>
      <w:tr w:rsidR="007368EC" w:rsidRPr="00DE6CFC" w:rsidTr="0026681A">
        <w:trPr>
          <w:trHeight w:val="70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26681A">
        <w:trPr>
          <w:trHeight w:val="475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26681A"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77,15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558,9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69,5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6CF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Отдел экономического развития и сельского хозяйства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Группа по организации закупок</w:t>
            </w: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122,5%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3,8%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43,7%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5) увеличение количества нестационарных торговых объектов круглогодичного размещения и мобильных торговых объектов до 20 единиц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не менее 25%;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8) увеличение количества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100 человек в 2025 году</w:t>
            </w: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7,65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2016 – 7,65</w:t>
            </w:r>
          </w:p>
          <w:p w:rsidR="007368EC" w:rsidRPr="00DE6CFC" w:rsidRDefault="007368EC" w:rsidP="0026681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b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гражданами, популяризации предпринимательства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F4F28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4F28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–п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выставках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6681A">
              <w:rPr>
                <w:rFonts w:ascii="PT Astra Serif" w:hAnsi="PT Astra Serif"/>
                <w:sz w:val="16"/>
                <w:szCs w:val="16"/>
              </w:rPr>
              <w:t>1.</w:t>
            </w: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при содействии Министерства промышленности и торговли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экономического развития и сельского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области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специальный налоговый режим, 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о-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ЖКХ, транспорта, строительства и  архитектуры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1)увеличение доли граждан, планирующих открыть собственный бизнес в течение ближайших 3 лет до 2% до конца 2025 года;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2) достижение высокопроизводительных рабочих мест на малых и средних предприятиях (накопленным итогом) – 8 единиц до конца 2025 года 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558,9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2015 – 498,9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2023 – 20,0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2024 – 20,0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2025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Проведение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открытого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конкурса среди субъектов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предпринимательства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по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предоставлению грантов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на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развитие собственного бизнеса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начинающим субъектам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содействия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выделении мест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размещение рекламы о бизнесе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с целью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повышения их имиджа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ЖКХ,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транспорта,  строительства и  архитектуры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имущественной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поддержки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 физических лиц, применяющих специальный налоговый режим,  за счет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формирования перечня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муниципального имущества,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предназначенного для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передачи во владение и (или)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пользование субъектам малого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организациям, образующим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инфраструктуру поддержки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Сектор имущественных отношений отдела имущественных и земельных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на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выставочно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-ярмарочную деятельность для местных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сельхозтоваропроизводителей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796177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10D07" w:rsidRPr="00DE6CFC" w:rsidTr="00796177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D07" w:rsidRPr="00A10D07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.8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A10D07" w:rsidRDefault="00A10D07" w:rsidP="00A10D07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П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редоставлени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е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производителям товаров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(сельскохозяйственных и продовольственных товаров, в том числе фермерской продукции, текстиля, одежды, обуви и прочих)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 xml:space="preserve"> и организациям потребительской кооперации, которые являются субъектами МСП, муниципальных преференций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в виде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0D07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A10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DE6CFC">
              <w:rPr>
                <w:rFonts w:ascii="PT Astra Serif" w:hAnsi="PT Astra Serif"/>
                <w:sz w:val="16"/>
                <w:szCs w:val="16"/>
              </w:rPr>
              <w:t>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2C6A2C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DE6CFC">
        <w:rPr>
          <w:rFonts w:ascii="PT Astra Serif" w:hAnsi="PT Astra Serif"/>
        </w:rPr>
        <w:br w:type="page"/>
      </w:r>
      <w:r w:rsidRPr="00DE6CFC">
        <w:rPr>
          <w:rFonts w:ascii="PT Astra Serif" w:hAnsi="PT Astra Serif"/>
          <w:b/>
        </w:rPr>
        <w:lastRenderedPageBreak/>
        <w:t>Паспорт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ГУ ТО «Центр занятости населения Каменского района»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информационных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 xml:space="preserve">Всего 0,0 </w:t>
            </w:r>
            <w:proofErr w:type="spell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7368EC" w:rsidRPr="00DE6CFC" w:rsidRDefault="007368EC" w:rsidP="0026681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консультационных</w:t>
            </w:r>
            <w:proofErr w:type="gramEnd"/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услуг и финансовой помощи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безработным гражданам,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имеющим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намерение открыть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собственное дело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: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подборе необходимых работников;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организации оплачиваемых общественных работ;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 организации профессионального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обучения по профессиям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и специальностям,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востребуемым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субъектами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 и проведение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ярмарок вакансий и учебных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рабочих мест с целью подбора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кадрового персонала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для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Содействие развитию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молодежного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рамках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программы «Ты-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Размещение информационных материалов по вопросам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.. 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Отдел экономического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 </w:t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ИПЦ /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/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100, где</w:t>
            </w:r>
            <w:proofErr w:type="gramEnd"/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отчетный период (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действующих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ценнах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2014 год;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обр.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/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100%,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обр.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= (СЧ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) x 100%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, где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lastRenderedPageBreak/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</w:rPr>
              <w:t>микропредприятий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DE6CFC" w:rsidRDefault="007368EC" w:rsidP="0026681A">
            <w:pPr>
              <w:suppressAutoHyphens/>
              <w:autoSpaceDE w:val="0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СЧ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  <w:lang w:eastAsia="zh-CN"/>
              </w:rPr>
              <w:t>Э</w:t>
            </w: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работающих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=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/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общ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x 100, где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-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- 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стоимостной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DE6CFC" w:rsidRDefault="007368EC" w:rsidP="0026681A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общ</w:t>
            </w:r>
            <w:proofErr w:type="spellEnd"/>
            <w:r w:rsidRPr="00DE6CFC">
              <w:rPr>
                <w:rFonts w:ascii="PT Astra Serif" w:eastAsia="Calibri" w:hAnsi="PT Astra Serif"/>
                <w:b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Прирост высокопроизводительных рабочих мест на малых и средних предприятиях;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работающих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1000, где</w:t>
            </w:r>
            <w:proofErr w:type="gramEnd"/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 = 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Ч x 1000, где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государственной статистики и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Доля граждан, планирующих открыть собственный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Показатель определяется суммированием количества граждан, планирующих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открыть собственный бизнес в течение ближайших 3 лет на конец отчетного периода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.. 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, в СМИ, социальных сетях и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т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.д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2C3670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2C6A2C">
      <w:headerReference w:type="first" r:id="rId14"/>
      <w:pgSz w:w="16838" w:h="11906" w:orient="landscape"/>
      <w:pgMar w:top="14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45" w:rsidRDefault="00351F45" w:rsidP="00FA4FDA">
      <w:r>
        <w:separator/>
      </w:r>
    </w:p>
  </w:endnote>
  <w:endnote w:type="continuationSeparator" w:id="0">
    <w:p w:rsidR="00351F45" w:rsidRDefault="00351F45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45" w:rsidRDefault="00351F45"/>
  </w:footnote>
  <w:footnote w:type="continuationSeparator" w:id="0">
    <w:p w:rsidR="00351F45" w:rsidRDefault="00351F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61710"/>
      <w:docPartObj>
        <w:docPartGallery w:val="Page Numbers (Top of Page)"/>
        <w:docPartUnique/>
      </w:docPartObj>
    </w:sdtPr>
    <w:sdtEndPr/>
    <w:sdtContent>
      <w:p w:rsidR="00C71A11" w:rsidRDefault="00C71A11" w:rsidP="00985D5D">
        <w:pPr>
          <w:pStyle w:val="af"/>
        </w:pPr>
      </w:p>
      <w:p w:rsidR="00C71A11" w:rsidRPr="00F01A12" w:rsidRDefault="00C71A11" w:rsidP="00985D5D">
        <w:pPr>
          <w:pStyle w:val="af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7484"/>
      <w:docPartObj>
        <w:docPartGallery w:val="Page Numbers (Top of Page)"/>
        <w:docPartUnique/>
      </w:docPartObj>
    </w:sdtPr>
    <w:sdtEndPr/>
    <w:sdtContent>
      <w:p w:rsidR="00C71A11" w:rsidRDefault="00C71A11" w:rsidP="002C6A2C">
        <w:pPr>
          <w:pStyle w:val="af"/>
          <w:tabs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7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11" w:rsidRPr="00E962E4" w:rsidRDefault="00C71A11">
    <w:pPr>
      <w:pStyle w:val="af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C71A11" w:rsidRPr="008122BF" w:rsidRDefault="00C71A11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2C3670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16"/>
  </w:num>
  <w:num w:numId="5">
    <w:abstractNumId w:val="34"/>
  </w:num>
  <w:num w:numId="6">
    <w:abstractNumId w:val="36"/>
  </w:num>
  <w:num w:numId="7">
    <w:abstractNumId w:val="27"/>
  </w:num>
  <w:num w:numId="8">
    <w:abstractNumId w:val="7"/>
  </w:num>
  <w:num w:numId="9">
    <w:abstractNumId w:val="30"/>
  </w:num>
  <w:num w:numId="10">
    <w:abstractNumId w:val="29"/>
  </w:num>
  <w:num w:numId="11">
    <w:abstractNumId w:val="19"/>
  </w:num>
  <w:num w:numId="12">
    <w:abstractNumId w:val="18"/>
  </w:num>
  <w:num w:numId="13">
    <w:abstractNumId w:val="21"/>
  </w:num>
  <w:num w:numId="14">
    <w:abstractNumId w:val="25"/>
  </w:num>
  <w:num w:numId="15">
    <w:abstractNumId w:val="1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6"/>
  </w:num>
  <w:num w:numId="22">
    <w:abstractNumId w:val="3"/>
  </w:num>
  <w:num w:numId="23">
    <w:abstractNumId w:val="22"/>
  </w:num>
  <w:num w:numId="24">
    <w:abstractNumId w:val="12"/>
  </w:num>
  <w:num w:numId="25">
    <w:abstractNumId w:val="13"/>
  </w:num>
  <w:num w:numId="26">
    <w:abstractNumId w:val="31"/>
  </w:num>
  <w:num w:numId="27">
    <w:abstractNumId w:val="28"/>
  </w:num>
  <w:num w:numId="28">
    <w:abstractNumId w:val="23"/>
  </w:num>
  <w:num w:numId="29">
    <w:abstractNumId w:val="0"/>
  </w:num>
  <w:num w:numId="30">
    <w:abstractNumId w:val="8"/>
  </w:num>
  <w:num w:numId="31">
    <w:abstractNumId w:val="15"/>
  </w:num>
  <w:num w:numId="32">
    <w:abstractNumId w:val="11"/>
  </w:num>
  <w:num w:numId="33">
    <w:abstractNumId w:val="24"/>
  </w:num>
  <w:num w:numId="34">
    <w:abstractNumId w:val="35"/>
  </w:num>
  <w:num w:numId="35">
    <w:abstractNumId w:val="1"/>
  </w:num>
  <w:num w:numId="36">
    <w:abstractNumId w:val="32"/>
  </w:num>
  <w:num w:numId="37">
    <w:abstractNumId w:val="4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91D9F"/>
    <w:rsid w:val="000C37D1"/>
    <w:rsid w:val="000D0152"/>
    <w:rsid w:val="000D19F8"/>
    <w:rsid w:val="001018F9"/>
    <w:rsid w:val="00103189"/>
    <w:rsid w:val="00111FFE"/>
    <w:rsid w:val="001157C2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6681A"/>
    <w:rsid w:val="002756FF"/>
    <w:rsid w:val="00281678"/>
    <w:rsid w:val="002836C6"/>
    <w:rsid w:val="00285468"/>
    <w:rsid w:val="002932F6"/>
    <w:rsid w:val="002B449F"/>
    <w:rsid w:val="002C3670"/>
    <w:rsid w:val="002C573C"/>
    <w:rsid w:val="002C6A2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51F45"/>
    <w:rsid w:val="00362812"/>
    <w:rsid w:val="00374ABF"/>
    <w:rsid w:val="003768A7"/>
    <w:rsid w:val="00376E3F"/>
    <w:rsid w:val="003A13DA"/>
    <w:rsid w:val="003E2FE6"/>
    <w:rsid w:val="003E40A6"/>
    <w:rsid w:val="00424A53"/>
    <w:rsid w:val="0042569C"/>
    <w:rsid w:val="00441A1C"/>
    <w:rsid w:val="00462797"/>
    <w:rsid w:val="004643C7"/>
    <w:rsid w:val="004751CC"/>
    <w:rsid w:val="004875D9"/>
    <w:rsid w:val="004B4E9D"/>
    <w:rsid w:val="004D54C0"/>
    <w:rsid w:val="00512CFB"/>
    <w:rsid w:val="00514824"/>
    <w:rsid w:val="00563B05"/>
    <w:rsid w:val="00565D5B"/>
    <w:rsid w:val="005716A0"/>
    <w:rsid w:val="00576DAC"/>
    <w:rsid w:val="00586ECA"/>
    <w:rsid w:val="005B38BB"/>
    <w:rsid w:val="005B452C"/>
    <w:rsid w:val="005C5EE5"/>
    <w:rsid w:val="005C7E95"/>
    <w:rsid w:val="005D562C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30BD2"/>
    <w:rsid w:val="007368EC"/>
    <w:rsid w:val="00741129"/>
    <w:rsid w:val="00771E34"/>
    <w:rsid w:val="00787B13"/>
    <w:rsid w:val="00795F41"/>
    <w:rsid w:val="00796177"/>
    <w:rsid w:val="007B4B7E"/>
    <w:rsid w:val="007D42D4"/>
    <w:rsid w:val="007E1F54"/>
    <w:rsid w:val="007E546D"/>
    <w:rsid w:val="008122BF"/>
    <w:rsid w:val="00842AB4"/>
    <w:rsid w:val="0084707A"/>
    <w:rsid w:val="00870A31"/>
    <w:rsid w:val="008779BE"/>
    <w:rsid w:val="008871BC"/>
    <w:rsid w:val="00891310"/>
    <w:rsid w:val="00892D35"/>
    <w:rsid w:val="008A2F62"/>
    <w:rsid w:val="008B36EF"/>
    <w:rsid w:val="008B394F"/>
    <w:rsid w:val="008D31B8"/>
    <w:rsid w:val="008E3A1C"/>
    <w:rsid w:val="008E581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83ED8"/>
    <w:rsid w:val="00985D5D"/>
    <w:rsid w:val="00992C08"/>
    <w:rsid w:val="00995FED"/>
    <w:rsid w:val="009A2720"/>
    <w:rsid w:val="009C3691"/>
    <w:rsid w:val="009C58D1"/>
    <w:rsid w:val="009E0764"/>
    <w:rsid w:val="009F2C48"/>
    <w:rsid w:val="00A10D07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7B5B"/>
    <w:rsid w:val="00B60030"/>
    <w:rsid w:val="00B72F3E"/>
    <w:rsid w:val="00BB44B0"/>
    <w:rsid w:val="00BB470F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71A11"/>
    <w:rsid w:val="00C92866"/>
    <w:rsid w:val="00C929F3"/>
    <w:rsid w:val="00CA3E4C"/>
    <w:rsid w:val="00CC0551"/>
    <w:rsid w:val="00CD0ED0"/>
    <w:rsid w:val="00CD1379"/>
    <w:rsid w:val="00CD4F4F"/>
    <w:rsid w:val="00D10970"/>
    <w:rsid w:val="00D20FAD"/>
    <w:rsid w:val="00D35D63"/>
    <w:rsid w:val="00D714EC"/>
    <w:rsid w:val="00D80134"/>
    <w:rsid w:val="00D837C1"/>
    <w:rsid w:val="00D91A8C"/>
    <w:rsid w:val="00D93267"/>
    <w:rsid w:val="00D96035"/>
    <w:rsid w:val="00DC09DE"/>
    <w:rsid w:val="00DE66A2"/>
    <w:rsid w:val="00DE6CFC"/>
    <w:rsid w:val="00E149F2"/>
    <w:rsid w:val="00E35F85"/>
    <w:rsid w:val="00E4694F"/>
    <w:rsid w:val="00E53BA0"/>
    <w:rsid w:val="00E833F9"/>
    <w:rsid w:val="00E87F52"/>
    <w:rsid w:val="00E962E4"/>
    <w:rsid w:val="00EA6971"/>
    <w:rsid w:val="00EA7647"/>
    <w:rsid w:val="00EB153E"/>
    <w:rsid w:val="00EC0B7C"/>
    <w:rsid w:val="00EC3642"/>
    <w:rsid w:val="00EC3FB3"/>
    <w:rsid w:val="00ED13BE"/>
    <w:rsid w:val="00ED15B7"/>
    <w:rsid w:val="00ED4EDA"/>
    <w:rsid w:val="00ED54BC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A4FDA"/>
    <w:rsid w:val="00FB56E8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1">
    <w:name w:val="Сетка таблицы3"/>
    <w:basedOn w:val="a1"/>
    <w:next w:val="ae"/>
    <w:rsid w:val="0026681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1">
    <w:name w:val="Сетка таблицы3"/>
    <w:basedOn w:val="a1"/>
    <w:next w:val="ae"/>
    <w:rsid w:val="0026681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A7F5-DD56-41CD-B70F-7C456FA9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36543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5</cp:revision>
  <cp:lastPrinted>2023-01-30T07:34:00Z</cp:lastPrinted>
  <dcterms:created xsi:type="dcterms:W3CDTF">2023-01-30T14:07:00Z</dcterms:created>
  <dcterms:modified xsi:type="dcterms:W3CDTF">2023-01-30T22:02:00Z</dcterms:modified>
</cp:coreProperties>
</file>