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146B6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Заключение 19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</w:p>
    <w:p w:rsidR="00146B6F" w:rsidRPr="00146B6F" w:rsidRDefault="00A91407" w:rsidP="00146B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</w:t>
      </w:r>
      <w:r w:rsidR="00C43B8D">
        <w:rPr>
          <w:rFonts w:ascii="Times New Roman" w:hAnsi="Times New Roman"/>
          <w:b/>
          <w:sz w:val="28"/>
        </w:rPr>
        <w:t xml:space="preserve"> от</w:t>
      </w:r>
      <w:r w:rsidR="00146B6F" w:rsidRPr="00146B6F">
        <w:rPr>
          <w:rFonts w:ascii="Times New Roman" w:hAnsi="Times New Roman"/>
          <w:b/>
          <w:sz w:val="28"/>
        </w:rPr>
        <w:t xml:space="preserve"> 2 мая 2023 года</w:t>
      </w:r>
    </w:p>
    <w:p w:rsidR="0062458E" w:rsidRDefault="00146B6F" w:rsidP="00146B6F">
      <w:pPr>
        <w:spacing w:after="0" w:line="240" w:lineRule="auto"/>
        <w:rPr>
          <w:rFonts w:ascii="Times New Roman" w:hAnsi="Times New Roman"/>
          <w:b/>
          <w:sz w:val="28"/>
        </w:rPr>
      </w:pPr>
      <w:r w:rsidRPr="00146B6F">
        <w:rPr>
          <w:rFonts w:ascii="Times New Roman" w:hAnsi="Times New Roman"/>
          <w:b/>
          <w:sz w:val="28"/>
        </w:rPr>
        <w:t>№140 «Об утверждении муниципальной программы</w:t>
      </w:r>
      <w:r>
        <w:rPr>
          <w:rFonts w:ascii="Times New Roman" w:hAnsi="Times New Roman"/>
          <w:b/>
          <w:sz w:val="28"/>
        </w:rPr>
        <w:t xml:space="preserve"> </w:t>
      </w:r>
      <w:r w:rsidRPr="00146B6F">
        <w:rPr>
          <w:rFonts w:ascii="Times New Roman" w:hAnsi="Times New Roman"/>
          <w:b/>
          <w:sz w:val="28"/>
        </w:rPr>
        <w:t>«Социальная поддержка и социальное обслуживание населения</w:t>
      </w:r>
      <w:r>
        <w:rPr>
          <w:rFonts w:ascii="Times New Roman" w:hAnsi="Times New Roman"/>
          <w:b/>
          <w:sz w:val="28"/>
        </w:rPr>
        <w:t xml:space="preserve"> </w:t>
      </w:r>
      <w:r w:rsidRPr="00146B6F">
        <w:rPr>
          <w:rFonts w:ascii="Times New Roman" w:hAnsi="Times New Roman"/>
          <w:b/>
          <w:sz w:val="28"/>
        </w:rPr>
        <w:t>муниципального образования Каменский район</w:t>
      </w:r>
      <w:bookmarkStart w:id="0" w:name="_GoBack"/>
      <w:bookmarkEnd w:id="0"/>
      <w:r w:rsidR="00A91407">
        <w:rPr>
          <w:rFonts w:ascii="Times New Roman" w:hAnsi="Times New Roman"/>
          <w:b/>
          <w:sz w:val="28"/>
        </w:rPr>
        <w:t>»».</w:t>
      </w:r>
    </w:p>
    <w:p w:rsidR="0062458E" w:rsidRDefault="0062458E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Цель экспертизы:</w:t>
      </w:r>
      <w:r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Предмет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Объекты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 анализ, в том числе заключения, выданного отделом экономического развития и сельского хозяйства  администрации 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 проведенных  по  критериям оценки, представленное заключение, по мнению КСК, является формальным;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Рекомендации: заключение составлять с учетом положений  пункта 3.14 Постановления №399, с расшифровкой и описанием проведенных мероприятий, проведенных по  критериев оценки, представленное заключение, по мнению </w:t>
      </w:r>
      <w:proofErr w:type="gramStart"/>
      <w:r>
        <w:rPr>
          <w:rFonts w:ascii="Times New Roman" w:hAnsi="Times New Roman"/>
          <w:i/>
          <w:sz w:val="24"/>
          <w:u w:val="single"/>
        </w:rPr>
        <w:t>КСК</w:t>
      </w:r>
      <w:proofErr w:type="gramEnd"/>
      <w:r>
        <w:rPr>
          <w:rFonts w:ascii="Times New Roman" w:hAnsi="Times New Roman"/>
          <w:i/>
          <w:sz w:val="24"/>
          <w:u w:val="single"/>
        </w:rPr>
        <w:t xml:space="preserve"> является формальным шаблоном;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-корректировкой суммы бюджетных ассигнований на 2023-2026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 399.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бюджетов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кол-во – 1 , млн. руб. – 0,0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ab/>
        <w:t>В нарушение статьи 179 Бюджетного кодекса Российской Федерации постановления № 399: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1.1. Пояснительная записка не соответствует требованиям, установленны</w:t>
      </w:r>
      <w:r w:rsidR="00F06FEB">
        <w:rPr>
          <w:rFonts w:ascii="Times New Roman" w:hAnsi="Times New Roman"/>
          <w:i/>
          <w:sz w:val="24"/>
        </w:rPr>
        <w:t>м п. 4.2 Постановления - № 399, п</w:t>
      </w:r>
      <w:r w:rsidR="00F06FEB" w:rsidRPr="00F06FEB">
        <w:rPr>
          <w:rFonts w:ascii="Times New Roman" w:hAnsi="Times New Roman"/>
          <w:i/>
          <w:sz w:val="24"/>
        </w:rPr>
        <w:t xml:space="preserve">роведение финансово-экономической экспертизы в полном объеме не представляется возможным. 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  <w:r w:rsidR="00975663">
        <w:rPr>
          <w:rFonts w:ascii="Times New Roman" w:hAnsi="Times New Roman"/>
          <w:i/>
          <w:sz w:val="24"/>
        </w:rPr>
        <w:t>Пояснительную записку</w:t>
      </w:r>
      <w:r w:rsidR="00F06FEB">
        <w:rPr>
          <w:rFonts w:ascii="Times New Roman" w:hAnsi="Times New Roman"/>
          <w:i/>
          <w:sz w:val="24"/>
        </w:rPr>
        <w:t xml:space="preserve"> оформить в соответствии с требованиями, установленными п. 4.2 Постановления - № 399.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2458E" w:rsidRDefault="0062458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</w:p>
    <w:p w:rsidR="0062458E" w:rsidRDefault="0062458E">
      <w:pPr>
        <w:pStyle w:val="a5"/>
        <w:rPr>
          <w:rFonts w:ascii="Times New Roman" w:hAnsi="Times New Roman"/>
          <w:sz w:val="24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 w:rsidRPr="00A91407">
        <w:rPr>
          <w:rFonts w:ascii="Times New Roman" w:hAnsi="Times New Roman"/>
          <w:b/>
          <w:i/>
          <w:sz w:val="24"/>
        </w:rPr>
        <w:t>21.02.2024 г.</w:t>
      </w:r>
      <w:r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0B7618"/>
    <w:rsid w:val="00146B6F"/>
    <w:rsid w:val="0062458E"/>
    <w:rsid w:val="00975663"/>
    <w:rsid w:val="00A91407"/>
    <w:rsid w:val="00C43B8D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846</Words>
  <Characters>4823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9</cp:revision>
  <dcterms:created xsi:type="dcterms:W3CDTF">2024-02-16T09:51:00Z</dcterms:created>
  <dcterms:modified xsi:type="dcterms:W3CDTF">2024-02-20T12:35:00Z</dcterms:modified>
</cp:coreProperties>
</file>